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4EF3" w14:textId="26FB3134" w:rsidR="001B5B28" w:rsidRPr="00375312" w:rsidRDefault="001B5B28" w:rsidP="009356B4"/>
    <w:p w14:paraId="0B1C551B" w14:textId="77777777" w:rsidR="009356B4" w:rsidRPr="00375312" w:rsidRDefault="009356B4" w:rsidP="009356B4">
      <w:pPr>
        <w:spacing w:after="160" w:line="259" w:lineRule="auto"/>
        <w:jc w:val="center"/>
        <w:rPr>
          <w:rFonts w:ascii="Calibri" w:eastAsia="Batang" w:hAnsi="Calibri"/>
          <w:b/>
          <w:sz w:val="22"/>
          <w:szCs w:val="22"/>
          <w:lang w:val="pl-PL" w:eastAsia="en-US"/>
        </w:rPr>
      </w:pPr>
      <w:r w:rsidRPr="00375312">
        <w:rPr>
          <w:rFonts w:ascii="Calibri" w:eastAsia="Batang" w:hAnsi="Calibri"/>
          <w:b/>
          <w:sz w:val="22"/>
          <w:szCs w:val="22"/>
          <w:lang w:val="pl-PL" w:eastAsia="en-US"/>
        </w:rPr>
        <w:t xml:space="preserve">SZCZEGÓŁOWE ZASADY PRZYZNAWANIA DOFINANSOWANIA UDZIAŁU W KONFERENCJACH NAUKOWYCH DOKTORANTOM INTERDYSCYPLINARNYCH STUDIÓW DOKTORANCKICH W ZAKRESIE BIOGOSPODARKI W UNIWERSYTECIE WARMIŃSKO-MAZURSKIM </w:t>
      </w:r>
      <w:r w:rsidRPr="00375312">
        <w:rPr>
          <w:rFonts w:ascii="Calibri" w:eastAsia="Batang" w:hAnsi="Calibri"/>
          <w:b/>
          <w:sz w:val="22"/>
          <w:szCs w:val="22"/>
          <w:lang w:val="pl-PL" w:eastAsia="en-US"/>
        </w:rPr>
        <w:br/>
        <w:t xml:space="preserve">W OLSZTYNIE </w:t>
      </w:r>
    </w:p>
    <w:p w14:paraId="58F990FF" w14:textId="77777777" w:rsidR="009356B4" w:rsidRPr="00375312" w:rsidRDefault="009356B4" w:rsidP="009356B4">
      <w:pPr>
        <w:tabs>
          <w:tab w:val="left" w:pos="4035"/>
        </w:tabs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b/>
          <w:sz w:val="22"/>
          <w:szCs w:val="22"/>
          <w:lang w:val="pl-PL" w:eastAsia="en-US"/>
        </w:rPr>
        <w:t>Zadanie 4 – Program finasowania konferencji o zasięgu międzynarodowym uczestnikom Interdyscyplinarnych Studiów Doktoranckich</w:t>
      </w:r>
    </w:p>
    <w:p w14:paraId="793C7C92" w14:textId="750D35DC" w:rsidR="009356B4" w:rsidRPr="00375312" w:rsidRDefault="009356B4" w:rsidP="009356B4">
      <w:pPr>
        <w:suppressLineNumbers/>
        <w:spacing w:after="160" w:line="256" w:lineRule="auto"/>
        <w:ind w:left="284"/>
        <w:contextualSpacing/>
        <w:jc w:val="center"/>
        <w:rPr>
          <w:rFonts w:ascii="Calibri" w:eastAsia="Batang" w:hAnsi="Calibri"/>
          <w:sz w:val="22"/>
          <w:szCs w:val="22"/>
          <w:lang w:val="pl-PL" w:eastAsia="en-US"/>
        </w:rPr>
      </w:pPr>
      <w:r w:rsidRPr="00375312">
        <w:rPr>
          <w:rFonts w:ascii="Calibri" w:eastAsia="Batang" w:hAnsi="Calibri"/>
          <w:sz w:val="22"/>
          <w:szCs w:val="22"/>
          <w:lang w:val="pl-PL" w:eastAsia="en-US"/>
        </w:rPr>
        <w:t xml:space="preserve">(z dnia </w:t>
      </w:r>
      <w:r w:rsidR="004431B2" w:rsidRPr="00375312">
        <w:rPr>
          <w:rFonts w:ascii="Calibri" w:eastAsia="Batang" w:hAnsi="Calibri"/>
          <w:sz w:val="22"/>
          <w:szCs w:val="22"/>
          <w:lang w:val="pl-PL" w:eastAsia="en-US"/>
        </w:rPr>
        <w:t>28</w:t>
      </w:r>
      <w:r w:rsidRPr="00375312">
        <w:rPr>
          <w:rFonts w:ascii="Calibri" w:eastAsia="Batang" w:hAnsi="Calibri"/>
          <w:sz w:val="22"/>
          <w:szCs w:val="22"/>
          <w:lang w:val="pl-PL" w:eastAsia="en-US"/>
        </w:rPr>
        <w:t>.</w:t>
      </w:r>
      <w:r w:rsidR="004431B2" w:rsidRPr="00375312">
        <w:rPr>
          <w:rFonts w:ascii="Calibri" w:eastAsia="Batang" w:hAnsi="Calibri"/>
          <w:sz w:val="22"/>
          <w:szCs w:val="22"/>
          <w:lang w:val="pl-PL" w:eastAsia="en-US"/>
        </w:rPr>
        <w:t>02</w:t>
      </w:r>
      <w:r w:rsidRPr="00375312">
        <w:rPr>
          <w:rFonts w:ascii="Calibri" w:eastAsia="Batang" w:hAnsi="Calibri"/>
          <w:sz w:val="22"/>
          <w:szCs w:val="22"/>
          <w:lang w:val="pl-PL" w:eastAsia="en-US"/>
        </w:rPr>
        <w:t>.202</w:t>
      </w:r>
      <w:r w:rsidR="004431B2" w:rsidRPr="00375312">
        <w:rPr>
          <w:rFonts w:ascii="Calibri" w:eastAsia="Batang" w:hAnsi="Calibri"/>
          <w:sz w:val="22"/>
          <w:szCs w:val="22"/>
          <w:lang w:val="pl-PL" w:eastAsia="en-US"/>
        </w:rPr>
        <w:t>2</w:t>
      </w:r>
      <w:r w:rsidRPr="00375312">
        <w:rPr>
          <w:rFonts w:ascii="Calibri" w:eastAsia="Batang" w:hAnsi="Calibri"/>
          <w:sz w:val="22"/>
          <w:szCs w:val="22"/>
          <w:lang w:val="pl-PL" w:eastAsia="en-US"/>
        </w:rPr>
        <w:t xml:space="preserve"> r.)</w:t>
      </w:r>
    </w:p>
    <w:p w14:paraId="2083E97F" w14:textId="77777777" w:rsidR="009356B4" w:rsidRPr="00375312" w:rsidRDefault="009356B4" w:rsidP="009356B4">
      <w:pPr>
        <w:suppressLineNumbers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b/>
          <w:sz w:val="22"/>
          <w:szCs w:val="22"/>
          <w:lang w:val="pl-PL" w:eastAsia="en-US"/>
        </w:rPr>
        <w:t>§ 1</w:t>
      </w:r>
    </w:p>
    <w:p w14:paraId="7FA17BBC" w14:textId="17C394A6" w:rsidR="009356B4" w:rsidRPr="00375312" w:rsidRDefault="009356B4" w:rsidP="009356B4">
      <w:pPr>
        <w:suppressLineNumbers/>
        <w:tabs>
          <w:tab w:val="left" w:pos="0"/>
        </w:tabs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Opisane w niniejszym dokumencie zasady (zwane dalej Szczegółowymi Zasadami) dotyczą przyznawania dofinansowania udziału w konferencjach naukowych krajowych i zagranicznych o charakterze międzynarodowym doktorantom Interdyscyplinarnych Studiów Doktoranckich w zakresie </w:t>
      </w:r>
      <w:proofErr w:type="spellStart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Biogospodarki</w:t>
      </w:r>
      <w:proofErr w:type="spellEnd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, prowadzonych przez Wydziały: Bioinżynierii Zwierząt; Biologii i Biotechnologii; Rolnictwa i Leśnictwa; Medycyny Weterynaryjnej; Nauki o Żywności oraz </w:t>
      </w:r>
      <w:proofErr w:type="spellStart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Geoinżynierii</w:t>
      </w:r>
      <w:proofErr w:type="spellEnd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.</w:t>
      </w:r>
    </w:p>
    <w:p w14:paraId="452A615F" w14:textId="77777777" w:rsidR="00731CD7" w:rsidRPr="00375312" w:rsidRDefault="00731CD7" w:rsidP="009356B4">
      <w:pPr>
        <w:suppressLineNumbers/>
        <w:tabs>
          <w:tab w:val="left" w:pos="0"/>
        </w:tabs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7114C9E3" w14:textId="77777777" w:rsidR="009356B4" w:rsidRPr="00375312" w:rsidRDefault="009356B4" w:rsidP="009356B4">
      <w:pPr>
        <w:suppressLineNumbers/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b/>
          <w:sz w:val="22"/>
          <w:szCs w:val="22"/>
          <w:lang w:val="pl-PL" w:eastAsia="en-US"/>
        </w:rPr>
        <w:t>§ 2</w:t>
      </w:r>
    </w:p>
    <w:p w14:paraId="45920D90" w14:textId="77777777" w:rsidR="009356B4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Doktoranci Interdyscyplinarnych Studiów Doktoranckich w zakresie </w:t>
      </w:r>
      <w:proofErr w:type="spellStart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Biogospodarki</w:t>
      </w:r>
      <w:proofErr w:type="spellEnd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, mogą skorzystać z dofinasowania udziału w dwóch konferencjach naukowych o zasięgu międzynarodowym w latach 2019-2022. </w:t>
      </w:r>
    </w:p>
    <w:p w14:paraId="0F1F3025" w14:textId="77777777" w:rsidR="009356B4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W przypadku wygenerowania oszczędności w ramach zadania 4 – Program finasowania konferencji o zasięgu międzynarodowym uczestnikom Interdyscyplinarnych Studiów Doktoranckich w czasie realizacji projektu, istnieje możliwość przyznania dofinasowania udziału w konferencji kolejny raz doktorantom, którzy już dwukrotnie skorzystali z tej formy wsparcia. </w:t>
      </w:r>
    </w:p>
    <w:p w14:paraId="3A86C552" w14:textId="77777777" w:rsidR="009356B4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W przypadku doktorantów, który dwukrotnie skorzystali ze wsparcia określonego w zadaniu 4, dofinasowania na konferencję w ramach wygenerowanych oszczędności, może zostać przyznane w niepełnej kwocie.</w:t>
      </w:r>
    </w:p>
    <w:p w14:paraId="5F4CB85F" w14:textId="77777777" w:rsidR="009356B4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O możliwości przyznania dodatkowego wsparcia, w ramach wygenerowanych oszczędności w  zadaniu 4, Zespół Zarządzający poinformuje studentów ISD Doktoranckich. W takim przypadku przy przyznaniu dofinansowania, decydować będzie kolejność złożonych wniosków.</w:t>
      </w:r>
    </w:p>
    <w:p w14:paraId="1D4A0FB2" w14:textId="77777777" w:rsidR="009356B4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bookmarkStart w:id="0" w:name="_Hlk530389496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Dofinansowane mogą być jedynie konferencje krajowe lub zagraniczne o charakterze międzynarodowym</w:t>
      </w:r>
      <w:bookmarkEnd w:id="0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. Jako konferencję o charakterze międzynarodowym uznaje się taką, w której co najmniej 1/3 czynnych uczestników prezentujących referaty reprezentuje zagraniczne ośrodki naukowe. </w:t>
      </w:r>
    </w:p>
    <w:p w14:paraId="3D48EAD1" w14:textId="77777777" w:rsidR="009356B4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Dofinansowane mogą być jedynie konferencje, w których doktorant bierze czynny udział wygłaszając referat lub prezentując plakat/poster. Dofinasowanie nie jest przyznawane w przypadku biernego uczestnictwa w konferencji.</w:t>
      </w:r>
    </w:p>
    <w:p w14:paraId="316534E2" w14:textId="77777777" w:rsidR="009356B4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Doktorant zobowiązany jest do tego aby umieścić informację o dofinansowaniu udziału w konferencji przez Europejski Fundusz Społeczny w ramach Programu Operacyjnego Wiedza Edukacja Rozwój i projektu Interdyscyplinarne Studia Doktoranckie z zakresu </w:t>
      </w:r>
      <w:proofErr w:type="spellStart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Biogospodarki</w:t>
      </w:r>
      <w:proofErr w:type="spellEnd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 (</w:t>
      </w:r>
      <w:r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POWR.03.02.00-00-I034/16-00) </w:t>
      </w: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w prezentacji/na plakacie oraz w materiałach pokonferencyjnych.  </w:t>
      </w:r>
    </w:p>
    <w:p w14:paraId="12AA9D98" w14:textId="72DC31A8" w:rsidR="009356B4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highlight w:val="yellow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Dofinansowany może być całkowity </w:t>
      </w:r>
      <w:r w:rsidR="00627707" w:rsidRPr="00375312">
        <w:rPr>
          <w:rFonts w:ascii="Calibri" w:eastAsia="Calibri" w:hAnsi="Calibri" w:cs="Calibri"/>
          <w:sz w:val="22"/>
          <w:szCs w:val="22"/>
          <w:lang w:val="pl-PL" w:eastAsia="en-US"/>
        </w:rPr>
        <w:t>koszt z tytułu opłaty konferencyjnej oraz diet, kosztów przejazdu, dojazdów środkami komunikacji miejscowej i noclegów</w:t>
      </w: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. </w:t>
      </w:r>
    </w:p>
    <w:p w14:paraId="36196579" w14:textId="77777777" w:rsidR="001367C1" w:rsidRPr="00375312" w:rsidRDefault="009356B4" w:rsidP="001367C1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W przypadku delegacji krajowej koszt noclegu w </w:t>
      </w:r>
      <w:r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hotelu o maksymalnym standardzie 3* nie może wynieść więcej niż 360 zł/1 nocleg, za 2 osoby w pokoju 2- osobowym oraz więcej niż 250 PLN /1 nocleg za 1 osobę w pokoju 1-osobowym.  Koszt noclegu w hotelu o niższym standardzie niż 3* oraz </w:t>
      </w:r>
    </w:p>
    <w:p w14:paraId="22A3061F" w14:textId="77777777" w:rsidR="001367C1" w:rsidRPr="00375312" w:rsidRDefault="001367C1" w:rsidP="001367C1">
      <w:pPr>
        <w:suppressLineNumbers/>
        <w:tabs>
          <w:tab w:val="left" w:pos="0"/>
        </w:tabs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0C66A1A7" w14:textId="77777777" w:rsidR="001367C1" w:rsidRPr="00375312" w:rsidRDefault="001367C1" w:rsidP="001367C1">
      <w:pPr>
        <w:suppressLineNumbers/>
        <w:tabs>
          <w:tab w:val="left" w:pos="0"/>
        </w:tabs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3294EF73" w14:textId="77777777" w:rsidR="001367C1" w:rsidRPr="00375312" w:rsidRDefault="001367C1" w:rsidP="001367C1">
      <w:pPr>
        <w:suppressLineNumbers/>
        <w:tabs>
          <w:tab w:val="left" w:pos="0"/>
        </w:tabs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366C7B61" w14:textId="58543C2A" w:rsidR="009356B4" w:rsidRPr="00375312" w:rsidRDefault="009356B4" w:rsidP="001367C1">
      <w:pPr>
        <w:suppressLineNumbers/>
        <w:tabs>
          <w:tab w:val="left" w:pos="0"/>
        </w:tabs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w pensjonacie, motelu itd. nie może być wyższy niż 260 PLN/1 nocleg za 2 osoby w pokoju 2-osobowym raz więcej niż 120 PLN/1nocleg za 1 osobę w pokoju 1-osobowym. </w:t>
      </w:r>
    </w:p>
    <w:p w14:paraId="7AC603B0" w14:textId="77777777" w:rsidR="009356B4" w:rsidRPr="00375312" w:rsidRDefault="009356B4" w:rsidP="009356B4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Koszt transportu </w:t>
      </w:r>
      <w:r w:rsidRPr="00375312">
        <w:rPr>
          <w:rFonts w:ascii="Calibri" w:eastAsia="Calibri" w:hAnsi="Calibri"/>
          <w:sz w:val="22"/>
          <w:szCs w:val="22"/>
          <w:lang w:val="pl-PL" w:eastAsia="en-US"/>
        </w:rPr>
        <w:t>na terenie kraju będzie zwracany 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</w:t>
      </w:r>
    </w:p>
    <w:p w14:paraId="198873C5" w14:textId="77777777" w:rsidR="009356B4" w:rsidRPr="00375312" w:rsidRDefault="009356B4" w:rsidP="009356B4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W przypadku podróży międzynarodowych kwalifikowany może być koszt transportu kołowego, szynowego i lotniczego w klasie ekonomicznej. W przypadku korzystania z własnego środka transportu refundacja nie będzie wyższa niż koszt biletu w klasie ekonomicznej środkami lądowego transportu publicznego. </w:t>
      </w:r>
    </w:p>
    <w:p w14:paraId="22CE17B9" w14:textId="77777777" w:rsidR="009356B4" w:rsidRPr="00375312" w:rsidRDefault="009356B4" w:rsidP="009356B4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Zakup biletów lotniczych może odbywać się wyłącznie poprzez biuro wybrane przez Uniwersytet Warmińsko-Mazurski w Olsztynie na drodze postępowania przetargowego. </w:t>
      </w:r>
    </w:p>
    <w:p w14:paraId="7DDCB974" w14:textId="77777777" w:rsidR="00731CD7" w:rsidRPr="00375312" w:rsidRDefault="00627707" w:rsidP="00731CD7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Zaliczka na dofinansowanie obejmuje całkowity koszt z tytułu opłaty konferencyjnej oraz diet, kosztów przejazdu, dojazdów środkami komunikacji miejscowej i noclegów</w:t>
      </w:r>
    </w:p>
    <w:p w14:paraId="1DBA69F6" w14:textId="4FD01C5B" w:rsidR="009356B4" w:rsidRPr="00375312" w:rsidRDefault="009356B4" w:rsidP="00731CD7">
      <w:pPr>
        <w:numPr>
          <w:ilvl w:val="0"/>
          <w:numId w:val="3"/>
        </w:numPr>
        <w:suppressLineNumbers/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Wysokość dofinansowania udziału w dwóch konferencjach zagranicznych jednego doktoranta nie może przekroczyć 7 500 zł., z wyjątkiem sytuacji opisanej w § 2, ust 2. </w:t>
      </w:r>
    </w:p>
    <w:p w14:paraId="137FD3E4" w14:textId="77777777" w:rsidR="009356B4" w:rsidRPr="00375312" w:rsidRDefault="009356B4" w:rsidP="009356B4">
      <w:pPr>
        <w:suppressLineNumbers/>
        <w:tabs>
          <w:tab w:val="left" w:pos="0"/>
        </w:tabs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29F09D48" w14:textId="77777777" w:rsidR="009356B4" w:rsidRPr="00375312" w:rsidRDefault="009356B4" w:rsidP="009356B4">
      <w:pPr>
        <w:suppressLineNumbers/>
        <w:spacing w:after="160" w:line="259" w:lineRule="auto"/>
        <w:ind w:left="426" w:hanging="426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b/>
          <w:sz w:val="22"/>
          <w:szCs w:val="22"/>
          <w:lang w:val="pl-PL" w:eastAsia="en-US"/>
        </w:rPr>
        <w:t>§ 3</w:t>
      </w:r>
    </w:p>
    <w:p w14:paraId="0ECEA9A0" w14:textId="77777777" w:rsidR="009356B4" w:rsidRPr="00375312" w:rsidRDefault="009356B4" w:rsidP="009356B4">
      <w:pPr>
        <w:numPr>
          <w:ilvl w:val="3"/>
          <w:numId w:val="3"/>
        </w:numPr>
        <w:suppressLineNumbers/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Warunkiem przyznania dofinansowania udziału w konferencjach naukowych doktorantom Interdyscyplinarnych Studiów Doktoranckich w zakresie </w:t>
      </w:r>
      <w:proofErr w:type="spellStart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Biogospodarki</w:t>
      </w:r>
      <w:proofErr w:type="spellEnd"/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, jest złożenie wniosku o przyznanie dofinasowania dostępnego na stronie internetowej projektu. </w:t>
      </w:r>
    </w:p>
    <w:p w14:paraId="294E2A21" w14:textId="77777777" w:rsidR="009356B4" w:rsidRPr="00375312" w:rsidRDefault="009356B4" w:rsidP="009356B4">
      <w:pPr>
        <w:numPr>
          <w:ilvl w:val="3"/>
          <w:numId w:val="3"/>
        </w:numPr>
        <w:suppressLineNumbers/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Nabór wniosków na dofinansowanie konferencji jest ciągły, a wniosek powinien zostać złożony z trzymiesięcznym wyprzedzeniem w stosunku do terminu rozpoczęcia konferencji u asystenta kierownika projektu.</w:t>
      </w:r>
    </w:p>
    <w:p w14:paraId="36B30702" w14:textId="77777777" w:rsidR="009356B4" w:rsidRPr="00375312" w:rsidRDefault="009356B4" w:rsidP="009356B4">
      <w:pPr>
        <w:numPr>
          <w:ilvl w:val="3"/>
          <w:numId w:val="3"/>
        </w:numPr>
        <w:suppressLineNumbers/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Wniosek powinien być zatwierdzony przez opiekuna naukowego/promotora.</w:t>
      </w:r>
    </w:p>
    <w:p w14:paraId="0D20BB76" w14:textId="77777777" w:rsidR="009356B4" w:rsidRPr="00375312" w:rsidRDefault="009356B4" w:rsidP="009356B4">
      <w:pPr>
        <w:numPr>
          <w:ilvl w:val="3"/>
          <w:numId w:val="3"/>
        </w:numPr>
        <w:suppressLineNumbers/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Do wniosku powinien być dołączony: </w:t>
      </w:r>
    </w:p>
    <w:p w14:paraId="3BC44847" w14:textId="77777777" w:rsidR="009356B4" w:rsidRPr="00375312" w:rsidRDefault="009356B4" w:rsidP="009356B4">
      <w:pPr>
        <w:numPr>
          <w:ilvl w:val="0"/>
          <w:numId w:val="5"/>
        </w:numPr>
        <w:suppressLineNumber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formularz wyjazdowy (Formularz A) – w przypadku wyjazdu zagranicznego,</w:t>
      </w:r>
    </w:p>
    <w:p w14:paraId="74159E49" w14:textId="77777777" w:rsidR="009356B4" w:rsidRPr="00375312" w:rsidRDefault="009356B4" w:rsidP="009356B4">
      <w:pPr>
        <w:numPr>
          <w:ilvl w:val="0"/>
          <w:numId w:val="5"/>
        </w:numPr>
        <w:suppressLineNumber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potwierdzenie przyjęcia referatu/plakatu przez organizatora konferencji i potwierdzenie zgłoszenia udziału w konferencji,</w:t>
      </w:r>
    </w:p>
    <w:p w14:paraId="7C665632" w14:textId="77777777" w:rsidR="009356B4" w:rsidRPr="00375312" w:rsidRDefault="009356B4" w:rsidP="009356B4">
      <w:pPr>
        <w:numPr>
          <w:ilvl w:val="0"/>
          <w:numId w:val="5"/>
        </w:numPr>
        <w:suppressLineNumber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streszczenie pracy, która będzie prezentowana w czasie konferencji,</w:t>
      </w:r>
    </w:p>
    <w:p w14:paraId="7D05A9C8" w14:textId="77777777" w:rsidR="009356B4" w:rsidRPr="00375312" w:rsidRDefault="009356B4" w:rsidP="009356B4">
      <w:pPr>
        <w:numPr>
          <w:ilvl w:val="0"/>
          <w:numId w:val="5"/>
        </w:numPr>
        <w:suppressLineNumber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wydruku głównej strony internetowej konferencji. </w:t>
      </w:r>
    </w:p>
    <w:p w14:paraId="5D4F53F7" w14:textId="77777777" w:rsidR="009356B4" w:rsidRPr="00375312" w:rsidRDefault="009356B4" w:rsidP="009356B4">
      <w:pPr>
        <w:numPr>
          <w:ilvl w:val="3"/>
          <w:numId w:val="3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Decyzja o przyznaniu dofinasowania zostanie podjęta przez Kierownika Projektu w terminie 21 dni od złożenia wniosku o dofinasowanie.</w:t>
      </w:r>
    </w:p>
    <w:p w14:paraId="475523BD" w14:textId="77777777" w:rsidR="009356B4" w:rsidRPr="00375312" w:rsidRDefault="009356B4" w:rsidP="009356B4">
      <w:pPr>
        <w:numPr>
          <w:ilvl w:val="3"/>
          <w:numId w:val="3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Doktorant zostanie poinformowany pocztą elektroniczną o przyznanym dofinasowaniu na konferencję. </w:t>
      </w:r>
    </w:p>
    <w:p w14:paraId="2848F0EA" w14:textId="77777777" w:rsidR="009356B4" w:rsidRPr="00375312" w:rsidRDefault="009356B4" w:rsidP="009356B4">
      <w:pPr>
        <w:numPr>
          <w:ilvl w:val="3"/>
          <w:numId w:val="3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Decyzja Kierownika Projektu jest ostateczna. </w:t>
      </w:r>
    </w:p>
    <w:p w14:paraId="114F0007" w14:textId="77777777" w:rsidR="009356B4" w:rsidRPr="00375312" w:rsidRDefault="009356B4" w:rsidP="009356B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b/>
          <w:sz w:val="22"/>
          <w:szCs w:val="22"/>
          <w:lang w:val="pl-PL" w:eastAsia="en-US"/>
        </w:rPr>
        <w:t>§ 4</w:t>
      </w:r>
    </w:p>
    <w:p w14:paraId="1EC0B6CE" w14:textId="77777777" w:rsidR="009356B4" w:rsidRPr="00375312" w:rsidRDefault="009356B4" w:rsidP="009356B4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>Warunkiem rozliczenia udziału w konferencji będzie złożenie Kierownikowi Projektu:</w:t>
      </w:r>
    </w:p>
    <w:p w14:paraId="6231C165" w14:textId="77777777" w:rsidR="009356B4" w:rsidRPr="00375312" w:rsidRDefault="009356B4" w:rsidP="009356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>sprawozdania z przebiegu konferencji, którego wzór jest dostępny na stronie internetowej projektu,</w:t>
      </w:r>
    </w:p>
    <w:p w14:paraId="29D52140" w14:textId="77777777" w:rsidR="009356B4" w:rsidRPr="00375312" w:rsidRDefault="009356B4" w:rsidP="009356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>potwierdzenia prezentacji komunikatu/kserokopii z książki streszczeń,</w:t>
      </w:r>
    </w:p>
    <w:p w14:paraId="70695AC1" w14:textId="77777777" w:rsidR="009356B4" w:rsidRPr="00375312" w:rsidRDefault="009356B4" w:rsidP="009356B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>wydruku prezentacji/posteru.</w:t>
      </w:r>
    </w:p>
    <w:p w14:paraId="14CB9B65" w14:textId="77777777" w:rsidR="009356B4" w:rsidRPr="00375312" w:rsidRDefault="009356B4" w:rsidP="009356B4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Za nadzór merytoryczny udziału w konferencji odpowiedzialny jest </w:t>
      </w: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opiekun naukowy/promotor.</w:t>
      </w:r>
    </w:p>
    <w:p w14:paraId="62154024" w14:textId="77777777" w:rsidR="009356B4" w:rsidRPr="00375312" w:rsidRDefault="009356B4" w:rsidP="009356B4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lastRenderedPageBreak/>
        <w:t>Za organizację i rozliczenie finansowe udziału w konferencji odpowiedzialny jest asystent kierownika projektu.</w:t>
      </w:r>
    </w:p>
    <w:p w14:paraId="644A85BC" w14:textId="7E47F2F5" w:rsidR="009356B4" w:rsidRPr="00375312" w:rsidRDefault="009356B4" w:rsidP="00731CD7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Rozliczenie </w:t>
      </w:r>
      <w:r w:rsidR="001105E3"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przyznanej zaliczki oraz poniesionych kosztów musi być rozliczone </w:t>
      </w:r>
      <w:r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przez Doktoranta w ciągu 14 dni licząc od ostatniego dnia trwania konferencji, pod rygorem utraty dofinansowania. </w:t>
      </w:r>
      <w:r w:rsidR="001105E3" w:rsidRPr="00375312">
        <w:rPr>
          <w:rFonts w:ascii="Calibri" w:eastAsia="Calibri" w:hAnsi="Calibri"/>
          <w:sz w:val="22"/>
          <w:szCs w:val="22"/>
          <w:lang w:val="pl-PL" w:eastAsia="en-US"/>
        </w:rPr>
        <w:t xml:space="preserve">W przypadku podróży prywatnym środkiem transportu zwrot kosztów podróży zostanie zrefundowany po konferencji zgodnie z </w:t>
      </w:r>
      <w:r w:rsidR="00731CD7" w:rsidRPr="00375312">
        <w:rPr>
          <w:rFonts w:ascii="Calibri" w:eastAsia="Calibri" w:hAnsi="Calibri"/>
          <w:sz w:val="22"/>
          <w:szCs w:val="22"/>
          <w:lang w:val="pl-PL" w:eastAsia="en-US"/>
        </w:rPr>
        <w:t>§ 2</w:t>
      </w:r>
      <w:r w:rsidR="00731CD7" w:rsidRPr="00375312">
        <w:rPr>
          <w:rFonts w:ascii="Calibri" w:eastAsia="Calibri" w:hAnsi="Calibri"/>
          <w:b/>
          <w:sz w:val="22"/>
          <w:szCs w:val="22"/>
          <w:lang w:val="pl-PL" w:eastAsia="en-US"/>
        </w:rPr>
        <w:t xml:space="preserve"> </w:t>
      </w:r>
      <w:r w:rsidR="001105E3" w:rsidRPr="00375312">
        <w:rPr>
          <w:rFonts w:ascii="Calibri" w:eastAsia="Calibri" w:hAnsi="Calibri"/>
          <w:sz w:val="22"/>
          <w:szCs w:val="22"/>
          <w:lang w:val="pl-PL" w:eastAsia="en-US"/>
        </w:rPr>
        <w:t>ust. 10 i 11.</w:t>
      </w:r>
    </w:p>
    <w:p w14:paraId="19F96347" w14:textId="77777777" w:rsidR="009356B4" w:rsidRPr="00375312" w:rsidRDefault="009356B4" w:rsidP="009356B4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/>
          <w:sz w:val="22"/>
          <w:szCs w:val="22"/>
          <w:lang w:val="pl-PL" w:eastAsia="en-US"/>
        </w:rPr>
        <w:t>Do rozliczenia kosztów udziału w konferencji stosuje się:</w:t>
      </w:r>
    </w:p>
    <w:p w14:paraId="0F625670" w14:textId="77777777" w:rsidR="009356B4" w:rsidRPr="00375312" w:rsidRDefault="009356B4" w:rsidP="009356B4">
      <w:pPr>
        <w:numPr>
          <w:ilvl w:val="0"/>
          <w:numId w:val="4"/>
        </w:numPr>
        <w:suppressLineNumbers/>
        <w:tabs>
          <w:tab w:val="left" w:pos="0"/>
        </w:tabs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Zarządzenie Rektora nr 54/2013 z dnia 21 czerwca 2013 r., </w:t>
      </w:r>
    </w:p>
    <w:p w14:paraId="4A9AD0A4" w14:textId="77777777" w:rsidR="009356B4" w:rsidRPr="00375312" w:rsidRDefault="009356B4" w:rsidP="009356B4">
      <w:pPr>
        <w:numPr>
          <w:ilvl w:val="0"/>
          <w:numId w:val="4"/>
        </w:numPr>
        <w:suppressLineNumbers/>
        <w:tabs>
          <w:tab w:val="left" w:pos="0"/>
        </w:tabs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>Zarządzenie nr 9/2014 Rektora UWM w Olsztynie z dnia 12 lutego 2014,</w:t>
      </w:r>
    </w:p>
    <w:p w14:paraId="30430822" w14:textId="77777777" w:rsidR="009356B4" w:rsidRPr="00375312" w:rsidRDefault="009356B4" w:rsidP="009356B4">
      <w:pPr>
        <w:numPr>
          <w:ilvl w:val="0"/>
          <w:numId w:val="4"/>
        </w:numPr>
        <w:suppressLineNumbers/>
        <w:tabs>
          <w:tab w:val="left" w:pos="0"/>
        </w:tabs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en-US"/>
        </w:rPr>
        <w:t xml:space="preserve">Rozporządzenie Ministra Pracy i Polityki Społecznej z dnia 29 stycznia 2013 r., w sprawie należności przysługujących pracownikowi zatrudnionemu w państwowej lub samorządowej jednostce sfery budżetowej z tytułu podróży służbowej, </w:t>
      </w:r>
    </w:p>
    <w:p w14:paraId="169BD10D" w14:textId="77777777" w:rsidR="009356B4" w:rsidRPr="00375312" w:rsidRDefault="009356B4" w:rsidP="00D4155C">
      <w:pPr>
        <w:numPr>
          <w:ilvl w:val="0"/>
          <w:numId w:val="4"/>
        </w:numPr>
        <w:suppressLineNumbers/>
        <w:tabs>
          <w:tab w:val="left" w:pos="0"/>
        </w:tabs>
        <w:spacing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375312">
        <w:rPr>
          <w:rFonts w:ascii="Calibri" w:eastAsia="Calibri" w:hAnsi="Calibri" w:cs="Calibri"/>
          <w:sz w:val="22"/>
          <w:szCs w:val="22"/>
          <w:lang w:val="pl-PL" w:eastAsia="pl-PL"/>
        </w:rPr>
        <w:t xml:space="preserve">Rozporządzenie Ministra Infrastruktury z dnia 25 marca 2002 r. w sprawie warunków ustalania oraz sposobu dokonywania zwrotu kosztów używania do celów służbowych samochodów osobowych, motocykli i motorowerów nie będących własnością pracodawcy (Dz. U. Nr 27, poz.271 z </w:t>
      </w:r>
      <w:proofErr w:type="spellStart"/>
      <w:r w:rsidRPr="00375312">
        <w:rPr>
          <w:rFonts w:ascii="Calibri" w:eastAsia="Calibri" w:hAnsi="Calibri" w:cs="Calibri"/>
          <w:sz w:val="22"/>
          <w:szCs w:val="22"/>
          <w:lang w:val="pl-PL" w:eastAsia="pl-PL"/>
        </w:rPr>
        <w:t>późn</w:t>
      </w:r>
      <w:proofErr w:type="spellEnd"/>
      <w:r w:rsidRPr="00375312">
        <w:rPr>
          <w:rFonts w:ascii="Calibri" w:eastAsia="Calibri" w:hAnsi="Calibri" w:cs="Calibri"/>
          <w:sz w:val="22"/>
          <w:szCs w:val="22"/>
          <w:lang w:val="pl-PL" w:eastAsia="pl-PL"/>
        </w:rPr>
        <w:t xml:space="preserve">. zm.). </w:t>
      </w:r>
    </w:p>
    <w:p w14:paraId="0D9B5D5A" w14:textId="7594D77D" w:rsidR="009356B4" w:rsidRPr="00375312" w:rsidRDefault="009356B4" w:rsidP="00D4155C">
      <w:pPr>
        <w:pStyle w:val="Akapitzlist"/>
        <w:numPr>
          <w:ilvl w:val="0"/>
          <w:numId w:val="6"/>
        </w:numPr>
        <w:ind w:left="426"/>
      </w:pPr>
      <w:r w:rsidRPr="00375312">
        <w:rPr>
          <w:rFonts w:ascii="Calibri" w:eastAsia="Calibri" w:hAnsi="Calibri" w:cs="Calibri"/>
          <w:sz w:val="22"/>
          <w:szCs w:val="22"/>
          <w:lang w:eastAsia="en-US"/>
        </w:rPr>
        <w:t>Sprawy nieuregulowane niniejszym Regulaminem rozstrzygane są przez kierownika projektu</w:t>
      </w:r>
      <w:r w:rsidR="000779BA" w:rsidRPr="0037531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sectPr w:rsidR="009356B4" w:rsidRPr="00375312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9C64" w14:textId="77777777" w:rsidR="004F4DAF" w:rsidRDefault="004F4DAF" w:rsidP="002722CB">
      <w:r>
        <w:separator/>
      </w:r>
    </w:p>
  </w:endnote>
  <w:endnote w:type="continuationSeparator" w:id="0">
    <w:p w14:paraId="1AAEB74A" w14:textId="77777777"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82C4" w14:textId="77777777"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 xml:space="preserve">Projekt pt. </w:t>
    </w:r>
    <w:r w:rsidRPr="009416F4">
      <w:rPr>
        <w:b/>
        <w:sz w:val="18"/>
        <w:szCs w:val="18"/>
      </w:rPr>
      <w:t>Program Interdyscyplinarnych Studiów Doktoranckich „</w:t>
    </w:r>
    <w:proofErr w:type="spellStart"/>
    <w:r w:rsidRPr="009416F4">
      <w:rPr>
        <w:b/>
        <w:sz w:val="18"/>
        <w:szCs w:val="18"/>
      </w:rPr>
      <w:t>Biogospodarka</w:t>
    </w:r>
    <w:proofErr w:type="spellEnd"/>
    <w:r w:rsidRPr="009416F4">
      <w:rPr>
        <w:sz w:val="18"/>
        <w:szCs w:val="18"/>
      </w:rPr>
      <w:t>’</w:t>
    </w:r>
    <w:r w:rsidRPr="003B40BA">
      <w:rPr>
        <w:sz w:val="18"/>
      </w:rPr>
      <w:t>’</w:t>
    </w:r>
  </w:p>
  <w:p w14:paraId="7F6E8F23" w14:textId="77777777"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>współfinansowany przez Unię Europejską w ramach Europejskiego Funduszu Społecznego</w:t>
    </w:r>
  </w:p>
  <w:p w14:paraId="4F762E2C" w14:textId="77777777"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A475" w14:textId="77777777" w:rsidR="004F4DAF" w:rsidRDefault="004F4DAF" w:rsidP="002722CB">
      <w:r>
        <w:separator/>
      </w:r>
    </w:p>
  </w:footnote>
  <w:footnote w:type="continuationSeparator" w:id="0">
    <w:p w14:paraId="7CF1A935" w14:textId="77777777"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65AE" w14:textId="77777777"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C8B8CF2" wp14:editId="00AADC4F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 wp14:anchorId="35D2859C" wp14:editId="685C936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428ED026" wp14:editId="7BD40875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 wp14:anchorId="10557BB9" wp14:editId="3A782E9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9CA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343979"/>
    <w:multiLevelType w:val="hybridMultilevel"/>
    <w:tmpl w:val="14C4F14A"/>
    <w:lvl w:ilvl="0" w:tplc="498E5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E68BC"/>
    <w:multiLevelType w:val="hybridMultilevel"/>
    <w:tmpl w:val="6B26EF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F6524"/>
    <w:multiLevelType w:val="hybridMultilevel"/>
    <w:tmpl w:val="66AA28BE"/>
    <w:lvl w:ilvl="0" w:tplc="6B5C290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63556">
    <w:abstractNumId w:val="6"/>
  </w:num>
  <w:num w:numId="2" w16cid:durableId="1376393277">
    <w:abstractNumId w:val="3"/>
  </w:num>
  <w:num w:numId="3" w16cid:durableId="1840078756">
    <w:abstractNumId w:val="1"/>
  </w:num>
  <w:num w:numId="4" w16cid:durableId="1227834316">
    <w:abstractNumId w:val="0"/>
  </w:num>
  <w:num w:numId="5" w16cid:durableId="1794254085">
    <w:abstractNumId w:val="5"/>
  </w:num>
  <w:num w:numId="6" w16cid:durableId="339434650">
    <w:abstractNumId w:val="4"/>
  </w:num>
  <w:num w:numId="7" w16cid:durableId="1846435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779BA"/>
    <w:rsid w:val="000A1F46"/>
    <w:rsid w:val="000E1EFF"/>
    <w:rsid w:val="001105E3"/>
    <w:rsid w:val="001367C1"/>
    <w:rsid w:val="00173B23"/>
    <w:rsid w:val="001977D3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3270C6"/>
    <w:rsid w:val="00330A5F"/>
    <w:rsid w:val="00333732"/>
    <w:rsid w:val="0034349E"/>
    <w:rsid w:val="00372061"/>
    <w:rsid w:val="00375312"/>
    <w:rsid w:val="00382D68"/>
    <w:rsid w:val="00390BE9"/>
    <w:rsid w:val="003B4DE2"/>
    <w:rsid w:val="004431B2"/>
    <w:rsid w:val="0046583F"/>
    <w:rsid w:val="00470B93"/>
    <w:rsid w:val="00492040"/>
    <w:rsid w:val="004934E4"/>
    <w:rsid w:val="004F4DAF"/>
    <w:rsid w:val="00550274"/>
    <w:rsid w:val="00565190"/>
    <w:rsid w:val="005C0BDE"/>
    <w:rsid w:val="005E21C4"/>
    <w:rsid w:val="005F4353"/>
    <w:rsid w:val="00607A28"/>
    <w:rsid w:val="00627707"/>
    <w:rsid w:val="00655D8E"/>
    <w:rsid w:val="006823C7"/>
    <w:rsid w:val="006A3501"/>
    <w:rsid w:val="006C1330"/>
    <w:rsid w:val="0070715C"/>
    <w:rsid w:val="00731CD7"/>
    <w:rsid w:val="00744451"/>
    <w:rsid w:val="007723E3"/>
    <w:rsid w:val="007E3F05"/>
    <w:rsid w:val="008029CA"/>
    <w:rsid w:val="00834696"/>
    <w:rsid w:val="00864E59"/>
    <w:rsid w:val="00874E65"/>
    <w:rsid w:val="008C3FF6"/>
    <w:rsid w:val="008D4CDD"/>
    <w:rsid w:val="00920A92"/>
    <w:rsid w:val="009356B4"/>
    <w:rsid w:val="009416F4"/>
    <w:rsid w:val="0094619A"/>
    <w:rsid w:val="00956945"/>
    <w:rsid w:val="00991FF4"/>
    <w:rsid w:val="009B1498"/>
    <w:rsid w:val="009C2BBA"/>
    <w:rsid w:val="009D5E02"/>
    <w:rsid w:val="009E6682"/>
    <w:rsid w:val="009F210A"/>
    <w:rsid w:val="00A0785A"/>
    <w:rsid w:val="00A14E7C"/>
    <w:rsid w:val="00AA709A"/>
    <w:rsid w:val="00AD7B52"/>
    <w:rsid w:val="00AF0547"/>
    <w:rsid w:val="00B434C2"/>
    <w:rsid w:val="00B45EDF"/>
    <w:rsid w:val="00B56D49"/>
    <w:rsid w:val="00B674FE"/>
    <w:rsid w:val="00B7134F"/>
    <w:rsid w:val="00BB0FA3"/>
    <w:rsid w:val="00C442D0"/>
    <w:rsid w:val="00C557CA"/>
    <w:rsid w:val="00CA3DF6"/>
    <w:rsid w:val="00CC497D"/>
    <w:rsid w:val="00CC73E0"/>
    <w:rsid w:val="00CD0959"/>
    <w:rsid w:val="00CE6A35"/>
    <w:rsid w:val="00D013AE"/>
    <w:rsid w:val="00D4155C"/>
    <w:rsid w:val="00D46CFE"/>
    <w:rsid w:val="00D55A2B"/>
    <w:rsid w:val="00DA7136"/>
    <w:rsid w:val="00E43A12"/>
    <w:rsid w:val="00E9123C"/>
    <w:rsid w:val="00EE6A14"/>
    <w:rsid w:val="00F24C09"/>
    <w:rsid w:val="00FA1A9B"/>
    <w:rsid w:val="00FA22C9"/>
    <w:rsid w:val="00FA7A70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73B8BA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Sławomir Ciesielski</cp:lastModifiedBy>
  <cp:revision>3</cp:revision>
  <cp:lastPrinted>2022-04-08T10:50:00Z</cp:lastPrinted>
  <dcterms:created xsi:type="dcterms:W3CDTF">2022-04-08T10:50:00Z</dcterms:created>
  <dcterms:modified xsi:type="dcterms:W3CDTF">2022-04-08T11:00:00Z</dcterms:modified>
</cp:coreProperties>
</file>